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2C79C37" w14:textId="4F2F2BC8" w:rsidR="000A2833" w:rsidRPr="00455A3C" w:rsidRDefault="00E10832" w:rsidP="00F60A53">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0F274E">
        <w:t>2</w:t>
      </w:r>
      <w:r w:rsidR="005420B4">
        <w:t>.</w:t>
      </w:r>
      <w:r w:rsidR="00F60A53">
        <w:t xml:space="preserve"> </w:t>
      </w:r>
      <w:r w:rsidR="000F274E">
        <w:t>ledna</w:t>
      </w:r>
      <w:r w:rsidR="00A30105" w:rsidRPr="00455A3C">
        <w:t xml:space="preserve"> 20</w:t>
      </w:r>
      <w:r w:rsidR="00A7414F" w:rsidRPr="00455A3C">
        <w:t>2</w:t>
      </w:r>
      <w:r w:rsidR="000F274E">
        <w:t>3</w:t>
      </w:r>
    </w:p>
    <w:p w14:paraId="4EC0D461" w14:textId="77777777" w:rsidR="000C727D" w:rsidRDefault="000C727D" w:rsidP="00F60A53">
      <w:pPr>
        <w:spacing w:after="120" w:line="276" w:lineRule="auto"/>
        <w:rPr>
          <w:b/>
          <w:sz w:val="28"/>
          <w:szCs w:val="28"/>
        </w:rPr>
      </w:pPr>
    </w:p>
    <w:p w14:paraId="56A06461" w14:textId="3844915A" w:rsidR="00303102" w:rsidRDefault="00B60A84" w:rsidP="00F60A53">
      <w:pPr>
        <w:spacing w:after="120" w:line="276" w:lineRule="auto"/>
        <w:rPr>
          <w:b/>
          <w:sz w:val="28"/>
          <w:szCs w:val="28"/>
        </w:rPr>
      </w:pPr>
      <w:proofErr w:type="spellStart"/>
      <w:r>
        <w:rPr>
          <w:b/>
          <w:sz w:val="28"/>
          <w:szCs w:val="28"/>
        </w:rPr>
        <w:t>Fidelity</w:t>
      </w:r>
      <w:proofErr w:type="spellEnd"/>
      <w:r>
        <w:rPr>
          <w:b/>
          <w:sz w:val="28"/>
          <w:szCs w:val="28"/>
        </w:rPr>
        <w:t xml:space="preserve"> International</w:t>
      </w:r>
      <w:r w:rsidR="000F274E">
        <w:rPr>
          <w:b/>
          <w:sz w:val="28"/>
          <w:szCs w:val="28"/>
        </w:rPr>
        <w:t>: Soukromý úvěrový trh by mohl být defenzivní variantou pro investory</w:t>
      </w:r>
    </w:p>
    <w:p w14:paraId="6237C097" w14:textId="29108539" w:rsidR="00F71993" w:rsidRPr="00F71993" w:rsidRDefault="00137FDE" w:rsidP="00F60A53">
      <w:pPr>
        <w:spacing w:before="100" w:beforeAutospacing="1" w:after="100" w:afterAutospacing="1"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V době, kdy se </w:t>
      </w:r>
      <w:r w:rsidR="000F274E">
        <w:rPr>
          <w:rFonts w:asciiTheme="minorHAnsi" w:eastAsiaTheme="minorHAnsi" w:hAnsiTheme="minorHAnsi" w:cstheme="minorBidi"/>
          <w:b/>
          <w:sz w:val="24"/>
          <w:szCs w:val="24"/>
          <w:lang w:eastAsia="en-US"/>
        </w:rPr>
        <w:t xml:space="preserve">ekonomiky připravují na očekávanou recesi, by defenzivní variantou pro investory mohly být soukromé úvěrové trhy. A to díky jejich strukturálním vlastnostem a relativní síle této třídy aktiv. Soukromý úvěrový trh vykazuje určité rysy, které by mohly investorům pomoci vyhnout se těm nejhorším úrovním volatility ostatních tříd aktiv </w:t>
      </w:r>
      <w:r w:rsidR="000F274E" w:rsidRPr="000F274E">
        <w:rPr>
          <w:rFonts w:asciiTheme="minorHAnsi" w:eastAsiaTheme="minorHAnsi" w:hAnsiTheme="minorHAnsi" w:cstheme="minorBidi"/>
          <w:b/>
          <w:sz w:val="24"/>
          <w:szCs w:val="24"/>
          <w:lang w:eastAsia="en-US"/>
        </w:rPr>
        <w:t>–</w:t>
      </w:r>
      <w:r w:rsidR="000F274E">
        <w:rPr>
          <w:rFonts w:asciiTheme="minorHAnsi" w:eastAsiaTheme="minorHAnsi" w:hAnsiTheme="minorHAnsi" w:cstheme="minorBidi"/>
          <w:b/>
          <w:sz w:val="24"/>
          <w:szCs w:val="24"/>
          <w:lang w:eastAsia="en-US"/>
        </w:rPr>
        <w:t xml:space="preserve"> především proto, že jakožto </w:t>
      </w:r>
      <w:r w:rsidR="005678EB">
        <w:rPr>
          <w:rFonts w:asciiTheme="minorHAnsi" w:eastAsiaTheme="minorHAnsi" w:hAnsiTheme="minorHAnsi" w:cstheme="minorBidi"/>
          <w:b/>
          <w:sz w:val="24"/>
          <w:szCs w:val="24"/>
          <w:lang w:eastAsia="en-US"/>
        </w:rPr>
        <w:t xml:space="preserve">nástroje s pohyblivou úrokovou sazbou přinášejí v prostředí rostoucích úrokových sazeb vyšší výnosy. </w:t>
      </w:r>
    </w:p>
    <w:p w14:paraId="6A7A75E9" w14:textId="614E4860" w:rsidR="007E3EDF" w:rsidRPr="00B60A84" w:rsidRDefault="000F274E" w:rsidP="00B60A84">
      <w:pPr>
        <w:spacing w:line="276" w:lineRule="auto"/>
        <w:rPr>
          <w:color w:val="000000" w:themeColor="text1"/>
        </w:rPr>
      </w:pPr>
      <w:r>
        <w:rPr>
          <w:color w:val="000000" w:themeColor="text1"/>
        </w:rPr>
        <w:t xml:space="preserve">Michael </w:t>
      </w:r>
      <w:proofErr w:type="spellStart"/>
      <w:r>
        <w:rPr>
          <w:color w:val="000000" w:themeColor="text1"/>
        </w:rPr>
        <w:t>Curtis</w:t>
      </w:r>
      <w:proofErr w:type="spellEnd"/>
      <w:r w:rsidR="00137FDE">
        <w:rPr>
          <w:color w:val="000000" w:themeColor="text1"/>
        </w:rPr>
        <w:t xml:space="preserve">, vedoucí </w:t>
      </w:r>
      <w:r>
        <w:rPr>
          <w:color w:val="000000" w:themeColor="text1"/>
        </w:rPr>
        <w:t>oddělení soukromých úvěrových strategií</w:t>
      </w:r>
      <w:r w:rsidR="00FC3210">
        <w:rPr>
          <w:color w:val="000000" w:themeColor="text1"/>
        </w:rPr>
        <w:t xml:space="preserve">, </w:t>
      </w:r>
      <w:proofErr w:type="spellStart"/>
      <w:r w:rsidR="00FC3210">
        <w:rPr>
          <w:color w:val="000000" w:themeColor="text1"/>
        </w:rPr>
        <w:t>Fidelity</w:t>
      </w:r>
      <w:proofErr w:type="spellEnd"/>
      <w:r w:rsidR="00FC3210">
        <w:rPr>
          <w:color w:val="000000" w:themeColor="text1"/>
        </w:rPr>
        <w:t xml:space="preserve"> International:</w:t>
      </w:r>
    </w:p>
    <w:p w14:paraId="6E4026B1" w14:textId="77777777" w:rsidR="005678EB" w:rsidRPr="005678EB" w:rsidRDefault="005678EB" w:rsidP="005678EB">
      <w:pPr>
        <w:rPr>
          <w:color w:val="000000" w:themeColor="text1"/>
        </w:rPr>
      </w:pPr>
      <w:r w:rsidRPr="005678EB">
        <w:rPr>
          <w:color w:val="000000" w:themeColor="text1"/>
        </w:rPr>
        <w:t>Při přímých půjčkách mohou být úvěry dlouhodobé a řádně smluvně upraveny ve prospěch věřitelů, zatímco prioritní zajištěné úvěry nabízejí relativní ochranu díky své pozici na samém vrcholu kapitálové struktury.</w:t>
      </w:r>
    </w:p>
    <w:p w14:paraId="4C41EEC4" w14:textId="77777777" w:rsidR="005678EB" w:rsidRPr="005678EB" w:rsidRDefault="005678EB" w:rsidP="005678EB">
      <w:pPr>
        <w:rPr>
          <w:color w:val="000000" w:themeColor="text1"/>
        </w:rPr>
      </w:pPr>
      <w:r w:rsidRPr="005678EB">
        <w:rPr>
          <w:color w:val="000000" w:themeColor="text1"/>
        </w:rPr>
        <w:t>Tato konzervativní třída aktiv je vzhledem k nastupující volatilitě rovněž defenzivně nastavená. Ačkoliv budou míry selhání v rámci sektoru v příštím roce pravděpodobně růst, měly by být ve srovnání s veřejnými aktivy omezené. Případné oslabení cen tak pravděpodobně bude méně výrazné než během celosvětové finanční krize.</w:t>
      </w:r>
    </w:p>
    <w:p w14:paraId="2E27037D" w14:textId="2D51DAC9" w:rsidR="00137FDE" w:rsidRPr="005678EB" w:rsidRDefault="005678EB" w:rsidP="005678EB">
      <w:pPr>
        <w:rPr>
          <w:color w:val="000000" w:themeColor="text1"/>
        </w:rPr>
      </w:pPr>
      <w:r w:rsidRPr="005678EB">
        <w:rPr>
          <w:color w:val="000000" w:themeColor="text1"/>
        </w:rPr>
        <w:t xml:space="preserve">Některé soukromé úvěrové produkty byly vždy odolné, přičemž míry selhání u zajištěných úvěrových závazků (CLO) byly historicky nízké i v dobách krize (od celosvětové finanční krize nedošlo k defaultu žádných nástrojů CLO; několik málo defaultů, ke kterým dříve došlo, se týkalo zejména tranší s ratingem BB). Současné úrovně rozpětí sazeb na trhu prioritních zajištěných úvěrů naznačují, že aktuální nepříznivý vývoj již byl z velké části zohledněn. Aktuální ceny předpokládají míru selhání u jednoletých forwardů na úrovni 19,1 procenta, což představuje asi dvojnásobek nejvyšší míry selhání zaznamenané během celosvětové finanční krize (10,5 %). Pro kontext uvádíme, že ratingová agentura </w:t>
      </w:r>
      <w:proofErr w:type="spellStart"/>
      <w:r w:rsidRPr="005678EB">
        <w:rPr>
          <w:color w:val="000000" w:themeColor="text1"/>
        </w:rPr>
        <w:t>Fitch</w:t>
      </w:r>
      <w:proofErr w:type="spellEnd"/>
      <w:r w:rsidRPr="005678EB">
        <w:rPr>
          <w:color w:val="000000" w:themeColor="text1"/>
        </w:rPr>
        <w:t xml:space="preserve"> predikovala v rámci svého základního scénáře tříprocentní míru selhání pro nadcházející volatilitu a pětiprocentní míru selhání v případě pesimističtějšího vývoje.</w:t>
      </w:r>
    </w:p>
    <w:p w14:paraId="233EA56D" w14:textId="6014A950" w:rsidR="00B60A84" w:rsidRDefault="005678EB" w:rsidP="00B60A84">
      <w:pPr>
        <w:spacing w:after="210" w:line="276" w:lineRule="auto"/>
        <w:rPr>
          <w:rFonts w:asciiTheme="minorHAnsi" w:eastAsiaTheme="minorHAnsi" w:hAnsiTheme="minorHAnsi" w:cstheme="minorBidi"/>
          <w:b/>
          <w:sz w:val="24"/>
          <w:szCs w:val="24"/>
          <w:lang w:eastAsia="en-US"/>
        </w:rPr>
      </w:pPr>
      <w:r>
        <w:rPr>
          <w:noProof/>
        </w:rPr>
        <w:lastRenderedPageBreak/>
        <w:drawing>
          <wp:anchor distT="0" distB="0" distL="114300" distR="114300" simplePos="0" relativeHeight="251659264" behindDoc="0" locked="0" layoutInCell="1" allowOverlap="1" wp14:anchorId="2E44DC36" wp14:editId="13B03E4D">
            <wp:simplePos x="0" y="0"/>
            <wp:positionH relativeFrom="margin">
              <wp:align>left</wp:align>
            </wp:positionH>
            <wp:positionV relativeFrom="paragraph">
              <wp:posOffset>548640</wp:posOffset>
            </wp:positionV>
            <wp:extent cx="3505200" cy="2965450"/>
            <wp:effectExtent l="0" t="0" r="0" b="635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3505200" cy="2965450"/>
                    </a:xfrm>
                    <a:prstGeom prst="rect">
                      <a:avLst/>
                    </a:prstGeom>
                  </pic:spPr>
                </pic:pic>
              </a:graphicData>
            </a:graphic>
          </wp:anchor>
        </w:drawing>
      </w:r>
      <w:r>
        <w:rPr>
          <w:rFonts w:asciiTheme="minorHAnsi" w:eastAsiaTheme="minorHAnsi" w:hAnsiTheme="minorHAnsi" w:cstheme="minorBidi"/>
          <w:b/>
          <w:sz w:val="24"/>
          <w:szCs w:val="24"/>
          <w:lang w:eastAsia="en-US"/>
        </w:rPr>
        <w:t xml:space="preserve">Graf: Implicitní míry </w:t>
      </w:r>
      <w:r w:rsidRPr="005678EB">
        <w:rPr>
          <w:rFonts w:asciiTheme="minorHAnsi" w:eastAsiaTheme="minorHAnsi" w:hAnsiTheme="minorHAnsi" w:cstheme="minorBidi"/>
          <w:b/>
          <w:sz w:val="24"/>
          <w:szCs w:val="24"/>
          <w:lang w:eastAsia="en-US"/>
        </w:rPr>
        <w:t>selhání (5Y) se zdají být při srovnání s nejhoršími historickými úrovněmi pesimistické:</w:t>
      </w:r>
    </w:p>
    <w:p w14:paraId="1A2D8C92" w14:textId="4107B76D" w:rsidR="005678EB" w:rsidRDefault="005678EB" w:rsidP="00137FDE"/>
    <w:p w14:paraId="64935CBF" w14:textId="77777777" w:rsidR="005678EB" w:rsidRDefault="005678EB" w:rsidP="00137FDE"/>
    <w:p w14:paraId="07CCF2F8" w14:textId="77777777" w:rsidR="005678EB" w:rsidRDefault="005678EB" w:rsidP="00137FDE"/>
    <w:p w14:paraId="619BE6F3" w14:textId="77777777" w:rsidR="005678EB" w:rsidRDefault="005678EB" w:rsidP="00137FDE"/>
    <w:p w14:paraId="22BD5524" w14:textId="77777777" w:rsidR="005678EB" w:rsidRDefault="005678EB" w:rsidP="00137FDE"/>
    <w:p w14:paraId="1C6AEEB4" w14:textId="77777777" w:rsidR="005678EB" w:rsidRDefault="005678EB" w:rsidP="00137FDE"/>
    <w:p w14:paraId="34427CDA" w14:textId="77777777" w:rsidR="005678EB" w:rsidRDefault="005678EB" w:rsidP="00137FDE"/>
    <w:p w14:paraId="59AE0AA3" w14:textId="77777777" w:rsidR="005678EB" w:rsidRDefault="005678EB" w:rsidP="00137FDE"/>
    <w:p w14:paraId="66392442" w14:textId="77777777" w:rsidR="005678EB" w:rsidRDefault="005678EB" w:rsidP="005678EB"/>
    <w:p w14:paraId="22FEF8CE" w14:textId="77777777" w:rsidR="005678EB" w:rsidRDefault="005678EB" w:rsidP="005678EB"/>
    <w:p w14:paraId="3F0C32CB" w14:textId="64C125B9" w:rsidR="005678EB" w:rsidRPr="005678EB" w:rsidRDefault="005678EB" w:rsidP="005678EB">
      <w:pPr>
        <w:rPr>
          <w:i/>
          <w:iCs/>
          <w:color w:val="000000" w:themeColor="text1"/>
        </w:rPr>
      </w:pPr>
      <w:r w:rsidRPr="005678EB">
        <w:rPr>
          <w:i/>
          <w:iCs/>
          <w:color w:val="000000" w:themeColor="text1"/>
        </w:rPr>
        <w:t xml:space="preserve">Zdroj: </w:t>
      </w:r>
      <w:proofErr w:type="spellStart"/>
      <w:r w:rsidRPr="005678EB">
        <w:rPr>
          <w:i/>
          <w:iCs/>
          <w:color w:val="000000" w:themeColor="text1"/>
        </w:rPr>
        <w:t>Credit</w:t>
      </w:r>
      <w:proofErr w:type="spellEnd"/>
      <w:r w:rsidRPr="005678EB">
        <w:rPr>
          <w:i/>
          <w:iCs/>
          <w:color w:val="000000" w:themeColor="text1"/>
        </w:rPr>
        <w:t xml:space="preserve"> </w:t>
      </w:r>
      <w:proofErr w:type="spellStart"/>
      <w:r w:rsidRPr="005678EB">
        <w:rPr>
          <w:i/>
          <w:iCs/>
          <w:color w:val="000000" w:themeColor="text1"/>
        </w:rPr>
        <w:t>Suisse</w:t>
      </w:r>
      <w:proofErr w:type="spellEnd"/>
      <w:r w:rsidRPr="005678EB">
        <w:rPr>
          <w:i/>
          <w:iCs/>
          <w:color w:val="000000" w:themeColor="text1"/>
        </w:rPr>
        <w:t xml:space="preserve"> Western </w:t>
      </w:r>
      <w:proofErr w:type="spellStart"/>
      <w:r w:rsidRPr="005678EB">
        <w:rPr>
          <w:i/>
          <w:iCs/>
          <w:color w:val="000000" w:themeColor="text1"/>
        </w:rPr>
        <w:t>European</w:t>
      </w:r>
      <w:proofErr w:type="spellEnd"/>
      <w:r w:rsidRPr="005678EB">
        <w:rPr>
          <w:i/>
          <w:iCs/>
          <w:color w:val="000000" w:themeColor="text1"/>
        </w:rPr>
        <w:t xml:space="preserve"> </w:t>
      </w:r>
      <w:proofErr w:type="spellStart"/>
      <w:r w:rsidRPr="005678EB">
        <w:rPr>
          <w:i/>
          <w:iCs/>
          <w:color w:val="000000" w:themeColor="text1"/>
        </w:rPr>
        <w:t>Leveraged</w:t>
      </w:r>
      <w:proofErr w:type="spellEnd"/>
      <w:r w:rsidRPr="005678EB">
        <w:rPr>
          <w:i/>
          <w:iCs/>
          <w:color w:val="000000" w:themeColor="text1"/>
        </w:rPr>
        <w:t xml:space="preserve"> Loan Index – pouze EUR DM do splatnosti; CS US </w:t>
      </w:r>
      <w:proofErr w:type="spellStart"/>
      <w:r w:rsidRPr="005678EB">
        <w:rPr>
          <w:i/>
          <w:iCs/>
          <w:color w:val="000000" w:themeColor="text1"/>
        </w:rPr>
        <w:t>Leveraged</w:t>
      </w:r>
      <w:proofErr w:type="spellEnd"/>
      <w:r w:rsidRPr="005678EB">
        <w:rPr>
          <w:i/>
          <w:iCs/>
          <w:color w:val="000000" w:themeColor="text1"/>
        </w:rPr>
        <w:t xml:space="preserve"> Loan Index – DM do splatnosti; </w:t>
      </w:r>
      <w:proofErr w:type="spellStart"/>
      <w:r w:rsidRPr="005678EB">
        <w:rPr>
          <w:i/>
          <w:iCs/>
          <w:color w:val="000000" w:themeColor="text1"/>
        </w:rPr>
        <w:t>High</w:t>
      </w:r>
      <w:proofErr w:type="spellEnd"/>
      <w:r w:rsidRPr="005678EB">
        <w:rPr>
          <w:i/>
          <w:iCs/>
          <w:color w:val="000000" w:themeColor="text1"/>
        </w:rPr>
        <w:t xml:space="preserve"> </w:t>
      </w:r>
      <w:proofErr w:type="spellStart"/>
      <w:r w:rsidRPr="005678EB">
        <w:rPr>
          <w:i/>
          <w:iCs/>
          <w:color w:val="000000" w:themeColor="text1"/>
        </w:rPr>
        <w:t>Yield</w:t>
      </w:r>
      <w:proofErr w:type="spellEnd"/>
      <w:r w:rsidRPr="005678EB">
        <w:rPr>
          <w:i/>
          <w:iCs/>
          <w:color w:val="000000" w:themeColor="text1"/>
        </w:rPr>
        <w:t xml:space="preserve"> a IG ICE BAML OAS; data k 19. říjnu 2022. Předpokládané míry návratnosti: 60 % pro úvěry s pákovým efektem, 30 % pro sektor </w:t>
      </w:r>
      <w:proofErr w:type="spellStart"/>
      <w:r w:rsidRPr="005678EB">
        <w:rPr>
          <w:i/>
          <w:iCs/>
          <w:color w:val="000000" w:themeColor="text1"/>
        </w:rPr>
        <w:t>High</w:t>
      </w:r>
      <w:proofErr w:type="spellEnd"/>
      <w:r w:rsidRPr="005678EB">
        <w:rPr>
          <w:i/>
          <w:iCs/>
          <w:color w:val="000000" w:themeColor="text1"/>
        </w:rPr>
        <w:t xml:space="preserve"> </w:t>
      </w:r>
      <w:proofErr w:type="spellStart"/>
      <w:r w:rsidRPr="005678EB">
        <w:rPr>
          <w:i/>
          <w:iCs/>
          <w:color w:val="000000" w:themeColor="text1"/>
        </w:rPr>
        <w:t>Yield</w:t>
      </w:r>
      <w:proofErr w:type="spellEnd"/>
      <w:r w:rsidRPr="005678EB">
        <w:rPr>
          <w:i/>
          <w:iCs/>
          <w:color w:val="000000" w:themeColor="text1"/>
        </w:rPr>
        <w:t xml:space="preserve"> a 40 % pro investiční stupeň (IG), a to na základě historických údajů o míře návratnosti a seniority. Historické míry selhání pro sektory HY a IG vycházejí ze studie S&amp;P 2021 </w:t>
      </w:r>
      <w:proofErr w:type="spellStart"/>
      <w:r w:rsidRPr="005678EB">
        <w:rPr>
          <w:i/>
          <w:iCs/>
          <w:color w:val="000000" w:themeColor="text1"/>
        </w:rPr>
        <w:t>Annual</w:t>
      </w:r>
      <w:proofErr w:type="spellEnd"/>
      <w:r w:rsidRPr="005678EB">
        <w:rPr>
          <w:i/>
          <w:iCs/>
          <w:color w:val="000000" w:themeColor="text1"/>
        </w:rPr>
        <w:t xml:space="preserve"> </w:t>
      </w:r>
      <w:proofErr w:type="spellStart"/>
      <w:r w:rsidRPr="005678EB">
        <w:rPr>
          <w:i/>
          <w:iCs/>
          <w:color w:val="000000" w:themeColor="text1"/>
        </w:rPr>
        <w:t>Global</w:t>
      </w:r>
      <w:proofErr w:type="spellEnd"/>
      <w:r w:rsidRPr="005678EB">
        <w:rPr>
          <w:i/>
          <w:iCs/>
          <w:color w:val="000000" w:themeColor="text1"/>
        </w:rPr>
        <w:t xml:space="preserve"> </w:t>
      </w:r>
      <w:proofErr w:type="spellStart"/>
      <w:r w:rsidRPr="005678EB">
        <w:rPr>
          <w:i/>
          <w:iCs/>
          <w:color w:val="000000" w:themeColor="text1"/>
        </w:rPr>
        <w:t>Corporate</w:t>
      </w:r>
      <w:proofErr w:type="spellEnd"/>
      <w:r w:rsidRPr="005678EB">
        <w:rPr>
          <w:i/>
          <w:iCs/>
          <w:color w:val="000000" w:themeColor="text1"/>
        </w:rPr>
        <w:t xml:space="preserve"> Default And Rating </w:t>
      </w:r>
      <w:proofErr w:type="spellStart"/>
      <w:r w:rsidRPr="005678EB">
        <w:rPr>
          <w:i/>
          <w:iCs/>
          <w:color w:val="000000" w:themeColor="text1"/>
        </w:rPr>
        <w:t>Transition</w:t>
      </w:r>
      <w:proofErr w:type="spellEnd"/>
      <w:r w:rsidRPr="005678EB">
        <w:rPr>
          <w:i/>
          <w:iCs/>
          <w:color w:val="000000" w:themeColor="text1"/>
        </w:rPr>
        <w:t xml:space="preserve"> Study (1982 až 2021). Historické míry selhání pro úvěry s pákovým efektem vycházejí z indexů </w:t>
      </w:r>
      <w:proofErr w:type="spellStart"/>
      <w:r w:rsidRPr="005678EB">
        <w:rPr>
          <w:i/>
          <w:iCs/>
          <w:color w:val="000000" w:themeColor="text1"/>
        </w:rPr>
        <w:t>Morningstar</w:t>
      </w:r>
      <w:proofErr w:type="spellEnd"/>
      <w:r w:rsidRPr="005678EB">
        <w:rPr>
          <w:i/>
          <w:iCs/>
          <w:color w:val="000000" w:themeColor="text1"/>
        </w:rPr>
        <w:t xml:space="preserve"> US a </w:t>
      </w:r>
      <w:proofErr w:type="spellStart"/>
      <w:r w:rsidRPr="005678EB">
        <w:rPr>
          <w:i/>
          <w:iCs/>
          <w:color w:val="000000" w:themeColor="text1"/>
        </w:rPr>
        <w:t>European</w:t>
      </w:r>
      <w:proofErr w:type="spellEnd"/>
      <w:r w:rsidRPr="005678EB">
        <w:rPr>
          <w:i/>
          <w:iCs/>
          <w:color w:val="000000" w:themeColor="text1"/>
        </w:rPr>
        <w:t xml:space="preserve"> LL (2000 až 2022). Pokles ukazatele BDR pro úvěry s pákovým efektem na 41 % při </w:t>
      </w:r>
      <w:proofErr w:type="gramStart"/>
      <w:r w:rsidRPr="005678EB">
        <w:rPr>
          <w:i/>
          <w:iCs/>
          <w:color w:val="000000" w:themeColor="text1"/>
        </w:rPr>
        <w:t>30%</w:t>
      </w:r>
      <w:proofErr w:type="gramEnd"/>
      <w:r w:rsidRPr="005678EB">
        <w:rPr>
          <w:i/>
          <w:iCs/>
          <w:color w:val="000000" w:themeColor="text1"/>
        </w:rPr>
        <w:t xml:space="preserve"> míře návratnosti a na 31 % při 0% míře návratnosti.</w:t>
      </w:r>
    </w:p>
    <w:p w14:paraId="2F620B85" w14:textId="7F71EA8C" w:rsidR="00137FDE" w:rsidRPr="004E4B6A" w:rsidRDefault="00137FDE" w:rsidP="004E4B6A">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Trh </w:t>
      </w:r>
      <w:r w:rsidR="005678EB">
        <w:rPr>
          <w:rFonts w:asciiTheme="minorHAnsi" w:eastAsiaTheme="minorHAnsi" w:hAnsiTheme="minorHAnsi" w:cstheme="minorBidi"/>
          <w:b/>
          <w:sz w:val="24"/>
          <w:szCs w:val="24"/>
          <w:lang w:eastAsia="en-US"/>
        </w:rPr>
        <w:t>z trochu jiného těsta</w:t>
      </w:r>
    </w:p>
    <w:p w14:paraId="6AEFF26D" w14:textId="77777777" w:rsidR="005678EB" w:rsidRDefault="005678EB" w:rsidP="005678EB">
      <w:r>
        <w:t>Evropský trh prioritních zajištěných úvěrů je v současné době zcela jiný, než tomu bylo při nástupu celosvětové finanční krize. V lednu 2007 neexistovaly žádné nezajištěné („</w:t>
      </w:r>
      <w:proofErr w:type="spellStart"/>
      <w:r>
        <w:t>cov</w:t>
      </w:r>
      <w:proofErr w:type="spellEnd"/>
      <w:r>
        <w:t>-lite“) obchody, přičemž aktuálně činí podíl transakcí bez závazků 97 procent.</w:t>
      </w:r>
    </w:p>
    <w:p w14:paraId="40C2351A" w14:textId="77777777" w:rsidR="005678EB" w:rsidRDefault="005678EB" w:rsidP="005678EB">
      <w:r>
        <w:t>To samozřejmě snižuje riziko defaultů v roce 2023, neboť společnosti nemohou porušovat závazky, které neexistují. Cyklické společnosti tedy mají větší prostor pro zvládnutí současné neklidné situace.</w:t>
      </w:r>
    </w:p>
    <w:p w14:paraId="367E5706" w14:textId="77777777" w:rsidR="005678EB" w:rsidRDefault="005678EB" w:rsidP="005678EB">
      <w:r>
        <w:t xml:space="preserve">Rovněž platí, že za posledních 15 let se zlepšily ukazatele úvěrového krytí, které aktuálně činí 3,9 oproti 2,7 v roce 2008. S možným příchodem recese je tak cizí kapitál dostupnější. Podíl úvěrů s ratingem CCC v rámci indexu Western </w:t>
      </w:r>
      <w:proofErr w:type="spellStart"/>
      <w:r>
        <w:t>European</w:t>
      </w:r>
      <w:proofErr w:type="spellEnd"/>
      <w:r>
        <w:t xml:space="preserve"> </w:t>
      </w:r>
      <w:proofErr w:type="spellStart"/>
      <w:r>
        <w:t>Leveraged</w:t>
      </w:r>
      <w:proofErr w:type="spellEnd"/>
      <w:r>
        <w:t xml:space="preserve"> Loan Index klesl na 4 %, přičemž v době nástupu celosvětové finanční krize činil 20</w:t>
      </w:r>
      <w:r w:rsidRPr="007778D3">
        <w:t xml:space="preserve"> </w:t>
      </w:r>
      <w:r>
        <w:t>procent. Domníváme se však, že ratingové agentury již nemusí uplatňovat stejnou míru shovívavosti vůči negativním faktorům, jako tomu bylo během pandemie.</w:t>
      </w:r>
    </w:p>
    <w:p w14:paraId="0C41CB2A" w14:textId="3823F19D" w:rsidR="00722BC9" w:rsidRPr="00560ECE" w:rsidRDefault="00722BC9" w:rsidP="00992952">
      <w:pPr>
        <w:spacing w:line="276" w:lineRule="auto"/>
        <w:rPr>
          <w:sz w:val="18"/>
          <w:szCs w:val="18"/>
        </w:rPr>
      </w:pPr>
    </w:p>
    <w:p w14:paraId="20040A6A" w14:textId="1CD22F27" w:rsidR="004E4B6A" w:rsidRDefault="005678EB" w:rsidP="00992952">
      <w:pPr>
        <w:spacing w:line="276" w:lineRule="auto"/>
        <w:rPr>
          <w:i/>
          <w:iCs/>
          <w:color w:val="000000" w:themeColor="text1"/>
        </w:rPr>
      </w:pPr>
      <w:r>
        <w:rPr>
          <w:rFonts w:asciiTheme="minorHAnsi" w:eastAsiaTheme="minorHAnsi" w:hAnsiTheme="minorHAnsi" w:cstheme="minorBidi"/>
          <w:b/>
          <w:sz w:val="24"/>
          <w:szCs w:val="24"/>
          <w:lang w:eastAsia="en-US"/>
        </w:rPr>
        <w:lastRenderedPageBreak/>
        <w:t>Vyšší míra ochrany, nikoliv imunita</w:t>
      </w:r>
    </w:p>
    <w:p w14:paraId="1015B36D" w14:textId="15B56A63" w:rsidR="005678EB" w:rsidRDefault="005678EB" w:rsidP="005678EB">
      <w:r>
        <w:t>Ačkoliv předpokládáme, že soukromé trhy si s příchodem roku 2023 povedou relativně dobře a investoři budou schopni najít určitá aktiva s výraznou slevou, bude nezbytné postupovat opatrně a obezřetně, aby člověk nenaletěl. Vypůjčovatelé</w:t>
      </w:r>
      <w:r w:rsidRPr="007778D3">
        <w:t xml:space="preserve"> </w:t>
      </w:r>
      <w:r>
        <w:t>v rámci těchto trhů působí v reálné ekonomice, přičemž se potýkají s poklesem poptávky spotřebitelů, rostoucími sazbami a tržní volatilitou. A ačkoliv emitenti nejsou pod výrazným tlakem na refinancování stávajících transakcí – například objem prioritních zajištěných úvěrů, které je nutné refinancovat do roku 2024, činí pouze 18 mld. EUR – objeví se společnosti, jež budou nuceny upravit a prodloužit své stávající úvěry, případně u nich dojde k defaultu.</w:t>
      </w:r>
    </w:p>
    <w:p w14:paraId="63475AD3" w14:textId="77777777" w:rsidR="005678EB" w:rsidRDefault="005678EB" w:rsidP="005678EB">
      <w:r>
        <w:t>Ačkoliv bude mít určitý vliv i recesní vývoj, předpokládáme, že velká část investorů bude profitovat z relativně klidného prostředí, které na soukromých úvěrových trzích ve srovnání s veřejnými trhy panuje. Vzhledem k volatilitě a sílící pozici věřitelů se domníváme, že období následujících 12 až 24 měsíců by mohlo v sektoru soukromých úvěrů přinést zajímavé příležitosti.</w:t>
      </w:r>
    </w:p>
    <w:p w14:paraId="7B5077FD" w14:textId="1A6C2257" w:rsidR="00137FDE" w:rsidRPr="00137FDE" w:rsidRDefault="00137FDE" w:rsidP="00137FDE">
      <w:pPr>
        <w:pStyle w:val="F2-zkladn"/>
      </w:pPr>
    </w:p>
    <w:p w14:paraId="5B0A755F" w14:textId="297B30AC" w:rsidR="00725052" w:rsidRPr="00BC4EF0" w:rsidRDefault="00725052" w:rsidP="00725052">
      <w:pPr>
        <w:spacing w:line="240" w:lineRule="auto"/>
      </w:pPr>
      <w:r w:rsidRPr="00455A3C">
        <w:rPr>
          <w:b/>
        </w:rPr>
        <w:t>Pro více informací kontaktujte:</w:t>
      </w:r>
    </w:p>
    <w:p w14:paraId="3B45AF67" w14:textId="77777777" w:rsidR="00725052" w:rsidRPr="00455A3C" w:rsidRDefault="00725052" w:rsidP="00725052">
      <w:pPr>
        <w:spacing w:before="0" w:line="360" w:lineRule="auto"/>
        <w:rPr>
          <w:b/>
        </w:rPr>
      </w:pPr>
    </w:p>
    <w:p w14:paraId="7B66DFDA" w14:textId="77777777" w:rsidR="00725052" w:rsidRDefault="00725052" w:rsidP="00725052">
      <w:pPr>
        <w:spacing w:before="0" w:line="240" w:lineRule="atLeast"/>
        <w:rPr>
          <w:b/>
        </w:rPr>
      </w:pPr>
      <w:r>
        <w:rPr>
          <w:b/>
        </w:rPr>
        <w:t>Eliška Krohová</w:t>
      </w:r>
    </w:p>
    <w:p w14:paraId="34A69B71"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725052">
      <w:pPr>
        <w:spacing w:before="0" w:line="240" w:lineRule="atLeast"/>
      </w:pPr>
    </w:p>
    <w:p w14:paraId="5BFDE25D" w14:textId="77777777" w:rsidR="00725052" w:rsidRPr="00455A3C" w:rsidRDefault="00725052" w:rsidP="00725052">
      <w:pPr>
        <w:spacing w:before="0" w:line="240" w:lineRule="atLeast"/>
      </w:pPr>
      <w:r w:rsidRPr="00455A3C">
        <w:t>Ostrovní 126/30</w:t>
      </w:r>
    </w:p>
    <w:p w14:paraId="35E1E439" w14:textId="77777777" w:rsidR="00725052" w:rsidRPr="00455A3C" w:rsidRDefault="00725052" w:rsidP="00725052">
      <w:pPr>
        <w:spacing w:before="0" w:line="240" w:lineRule="atLeast"/>
      </w:pPr>
      <w:r w:rsidRPr="00455A3C">
        <w:t>110 00 Praha 1</w:t>
      </w:r>
    </w:p>
    <w:p w14:paraId="35FD41C3" w14:textId="77777777" w:rsidR="00725052" w:rsidRPr="00455A3C" w:rsidRDefault="00725052" w:rsidP="00725052">
      <w:pPr>
        <w:spacing w:before="0" w:line="240" w:lineRule="atLeast"/>
      </w:pPr>
      <w:proofErr w:type="spellStart"/>
      <w:r>
        <w:t>gsm</w:t>
      </w:r>
      <w:proofErr w:type="spellEnd"/>
      <w:r>
        <w:t>: + 420 720 406 659</w:t>
      </w:r>
    </w:p>
    <w:p w14:paraId="4FD0B4A0" w14:textId="77777777"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14AE2F5A" w14:textId="77777777" w:rsidR="005A5AB1" w:rsidRPr="005A5AB1" w:rsidRDefault="005A5AB1" w:rsidP="005A5AB1">
      <w:pPr>
        <w:pStyle w:val="F2-zkladn"/>
      </w:pPr>
    </w:p>
    <w:p w14:paraId="795B3F46"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C974762" w14:textId="42E48790" w:rsidR="00841B72" w:rsidRDefault="00D404D5" w:rsidP="00505FAA">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543186F0" w14:textId="0B12870C" w:rsidR="009475A6" w:rsidRDefault="009475A6" w:rsidP="009475A6">
      <w:pPr>
        <w:pStyle w:val="F2-zkladn"/>
        <w:rPr>
          <w:lang w:eastAsia="en-US"/>
        </w:rPr>
      </w:pPr>
    </w:p>
    <w:p w14:paraId="60D39360" w14:textId="77777777" w:rsidR="009475A6" w:rsidRPr="009475A6" w:rsidRDefault="009475A6" w:rsidP="009475A6">
      <w:pPr>
        <w:pStyle w:val="F2-zkladn"/>
        <w:rPr>
          <w:lang w:eastAsia="en-US"/>
        </w:rPr>
      </w:pPr>
    </w:p>
    <w:p w14:paraId="129A4442" w14:textId="77777777" w:rsidR="00424771" w:rsidRPr="00424771" w:rsidRDefault="00424771" w:rsidP="00424771">
      <w:pPr>
        <w:pStyle w:val="F2-zkladn"/>
        <w:rPr>
          <w:b/>
          <w:bCs/>
        </w:rPr>
      </w:pPr>
      <w:r w:rsidRPr="00424771">
        <w:rPr>
          <w:b/>
          <w:bCs/>
        </w:rPr>
        <w:lastRenderedPageBreak/>
        <w:t>Důležité upozornění</w:t>
      </w:r>
    </w:p>
    <w:p w14:paraId="433960A8" w14:textId="77777777" w:rsidR="00424771" w:rsidRDefault="00424771" w:rsidP="00424771">
      <w:pPr>
        <w:pStyle w:val="F2-zkladn"/>
      </w:pPr>
      <w:r>
        <w:t>Toto je propagační materiál. Tento dokument nesmí být bez předchozího souhlasu rozmnožován nebo rozšiřován.</w:t>
      </w:r>
    </w:p>
    <w:p w14:paraId="0B3DEE37"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424771">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424771">
      <w:pPr>
        <w:pStyle w:val="F2-zkladn"/>
      </w:pPr>
      <w:r>
        <w:t>Minulá výkonnost není spolehlivým ukazatelem budoucích výsledků.</w:t>
      </w:r>
    </w:p>
    <w:p w14:paraId="5443331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424771">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w:t>
      </w:r>
      <w:r>
        <w:lastRenderedPageBreak/>
        <w:t xml:space="preserve">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0C902663" w14:textId="709CFE6A" w:rsidR="00B42703" w:rsidRPr="00E667B4" w:rsidRDefault="003F2486" w:rsidP="0052268E">
      <w:pPr>
        <w:pStyle w:val="F2-zkladn"/>
      </w:pPr>
      <w:r w:rsidRPr="003F2486">
        <w:t>MKAT11091</w:t>
      </w:r>
    </w:p>
    <w:sectPr w:rsidR="00B42703" w:rsidRPr="00E667B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24AC" w14:textId="77777777" w:rsidR="00447E3C" w:rsidRDefault="00447E3C">
      <w:r>
        <w:separator/>
      </w:r>
    </w:p>
  </w:endnote>
  <w:endnote w:type="continuationSeparator" w:id="0">
    <w:p w14:paraId="603C6ABD" w14:textId="77777777" w:rsidR="00447E3C" w:rsidRDefault="0044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4428" w14:textId="77777777" w:rsidR="00447E3C" w:rsidRDefault="00447E3C">
      <w:r>
        <w:separator/>
      </w:r>
    </w:p>
  </w:footnote>
  <w:footnote w:type="continuationSeparator" w:id="0">
    <w:p w14:paraId="4E8C87AB" w14:textId="77777777" w:rsidR="00447E3C" w:rsidRDefault="00447E3C">
      <w:r>
        <w:continuationSeparator/>
      </w:r>
    </w:p>
  </w:footnote>
  <w:footnote w:type="continuationNotice" w:id="1">
    <w:p w14:paraId="55E5C339" w14:textId="77777777" w:rsidR="00447E3C" w:rsidRDefault="00447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8736</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10196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5</cp:revision>
  <cp:lastPrinted>2015-11-30T16:29:00Z</cp:lastPrinted>
  <dcterms:created xsi:type="dcterms:W3CDTF">2023-01-02T11:56:00Z</dcterms:created>
  <dcterms:modified xsi:type="dcterms:W3CDTF">2023-01-02T12:33:00Z</dcterms:modified>
</cp:coreProperties>
</file>